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66" w:rsidRPr="00371266" w:rsidRDefault="00371266" w:rsidP="00371266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КУЛЬТУРЫ РОССИЙСКОЙ ФЕДЕРАЦИИ</w:t>
      </w:r>
    </w:p>
    <w:p w:rsidR="00371266" w:rsidRPr="00371266" w:rsidRDefault="00371266" w:rsidP="00371266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</w:p>
    <w:p w:rsidR="00371266" w:rsidRPr="00371266" w:rsidRDefault="00371266" w:rsidP="00371266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8 октября 2012 года N 1077</w:t>
      </w:r>
      <w:r w:rsidRPr="0037126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утверждении </w:t>
      </w:r>
      <w:hyperlink r:id="rId5" w:anchor="6540IN" w:history="1">
        <w:r w:rsidRPr="0037126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Порядка учета документов, входящих в состав библиотечного фонда</w:t>
        </w:r>
      </w:hyperlink>
    </w:p>
    <w:p w:rsidR="00371266" w:rsidRPr="00371266" w:rsidRDefault="00371266" w:rsidP="0037126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 февраля 2017 года)</w:t>
      </w:r>
    </w:p>
    <w:p w:rsidR="00371266" w:rsidRPr="00371266" w:rsidRDefault="00371266" w:rsidP="0037126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Информация об изменяющих документах</w:t>
      </w:r>
    </w:p>
    <w:p w:rsidR="00371266" w:rsidRPr="00371266" w:rsidRDefault="00371266" w:rsidP="0037126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71266" w:rsidRPr="00371266" w:rsidRDefault="00371266" w:rsidP="00371266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71266" w:rsidRPr="00371266" w:rsidRDefault="00371266" w:rsidP="0037126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 исполнение </w:t>
      </w:r>
      <w:hyperlink r:id="rId6" w:anchor="7DK0K8" w:history="1">
        <w:r w:rsidRPr="0037126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пункта 6 статьи 12 Федерального закона от 29.12.94 N 78-ФЗ "О библиотечном деле"</w:t>
        </w:r>
      </w:hyperlink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1995, N 1, ст.2, 2004, N 35, ст.3607, 2007, N 27, ст.3213, 2008, N 30 (ч.2), 3616, N 44, ст.4989, 2009, N 23, 2774, N 52 (1 ч.), ст.6446)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371266" w:rsidRPr="00371266" w:rsidRDefault="00371266" w:rsidP="003712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Порядок учета документов, входящих в состав библиотечного фонда (</w:t>
      </w:r>
      <w:hyperlink r:id="rId7" w:anchor="6540IN" w:history="1">
        <w:r w:rsidRPr="0037126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 за</w:t>
      </w:r>
      <w:proofErr w:type="gramEnd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исполнением настоящего приказа возложить на статс-секретаря - заместителя Министра культуры Российской Федерации </w:t>
      </w:r>
      <w:proofErr w:type="spellStart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Г.П.Ивлиева</w:t>
      </w:r>
      <w:proofErr w:type="spellEnd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В.Мединский</w:t>
      </w:r>
      <w:proofErr w:type="spellEnd"/>
    </w:p>
    <w:p w:rsidR="00371266" w:rsidRPr="00371266" w:rsidRDefault="00371266" w:rsidP="0037126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71266" w:rsidRPr="00371266" w:rsidRDefault="00371266" w:rsidP="003712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Зарегистрировано</w:t>
      </w:r>
    </w:p>
    <w:p w:rsidR="00371266" w:rsidRPr="00371266" w:rsidRDefault="00371266" w:rsidP="003712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Министерстве юстиции</w:t>
      </w:r>
    </w:p>
    <w:p w:rsidR="00371266" w:rsidRPr="00371266" w:rsidRDefault="00371266" w:rsidP="003712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 Федерации</w:t>
      </w:r>
    </w:p>
    <w:p w:rsidR="00371266" w:rsidRPr="00371266" w:rsidRDefault="00371266" w:rsidP="003712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 мая 2013 года,</w:t>
      </w:r>
    </w:p>
    <w:p w:rsidR="00371266" w:rsidRPr="00371266" w:rsidRDefault="00371266" w:rsidP="003712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регистрационный N 28390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</w:t>
      </w:r>
    </w:p>
    <w:p w:rsidR="00371266" w:rsidRPr="00371266" w:rsidRDefault="00371266" w:rsidP="00371266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37126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Порядок учета документов, входящих в состав библиотечного фонда</w:t>
      </w:r>
    </w:p>
    <w:p w:rsidR="00371266" w:rsidRPr="00371266" w:rsidRDefault="00371266" w:rsidP="0037126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 февраля 2017 года)</w:t>
      </w:r>
    </w:p>
    <w:p w:rsidR="00371266" w:rsidRPr="00371266" w:rsidRDefault="00371266" w:rsidP="00371266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371266" w:rsidRPr="00371266" w:rsidRDefault="00371266" w:rsidP="0037126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I. Общие положения</w:t>
      </w:r>
    </w:p>
    <w:p w:rsidR="00371266" w:rsidRPr="00371266" w:rsidRDefault="00371266" w:rsidP="0037126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Учет документов библиотечного фонда является основой отчетности и планирования деятельности библиотеки, способствует обеспечению его сохранности.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1.2. Учет включает регистрацию поступления документов в библиотечный фонд, их выбытия из фонда, итоговые данные о величине (объеме) всего библиотечного фонда и его подразделов, стоимость фонда.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 Основные требования, предъявляемые к учету библиотечного фонда: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полнота и достоверность учетной информации;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оперативность;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документированное оформление каждого поступления в фонд и каждого выбытия из фонда;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совместимость приемов и форм учета, их надежность при параллельном использовании традиционной и автоматизированной технологий учета;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соответствие номенклатуры показателей учета фонда аналогичным показателям государственной библиотечной статистики.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1.4. Учету подлежат все документы (постоянного, длительного, временного хранения), поступающие в фонд библиотеки и выбывающие из фонда библиотеки, независимо от вида носителя.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1.5. Учет документов ведется в регистрах индивидуального и суммарного учета в традиционном и (или) электронном виде.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1.5.1. Регистрами индивидуального учета документов являются: регистрационная книга, карточка регистрации на определенный вид документа для газет, журналов, других видов документов. Допускается также регистрами индивидуального учета считать топографическую опись (каталог), учетный каталог, учетный файл с выходными формами, формируемыми в порядке инвентарных или иных идентификационных номеров документов.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Регистры индивидуального учета документов библиотечного фонда содержат реквизиты, идентифицирующие каждый документ с указанием сведений о поступлении документа и о его выбытии из библиотечного фонда.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1.5.2. Регистрами суммарного учета документов являются: книга суммарного учета библиотечного фонда, листы суммарного учета библиотечного фонда, журнал. Допускаются различные модификации книги суммарного учета. Независимо от вида учетного документа регистры суммарного учета содержат три взаимосвязанные части: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"Поступление документов в библиотечный фонд",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"Выбытие документов из библиотечного фонда",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"Итоги движения библиотечного фонда: итоговые данные на конец отчетного периода".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Обобщенные данные отражаются в каждой части регистра суммарного учета. В электронной системе учета эти части интегрируются в единый учетный файл.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1.6. Суммарный и индивидуальный учет фонда ведется структурными подразделениями библиотеки, в ведении которых находится комплектование фонда, а также подразделениями, обеспечивающими хранение и использование закрепленных за ними частей общего фонда библиотеки.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1.7. Статистическая информация о формировании библиотечного фонда по итогам года представляется в Главный информационно-вычислительный центр Минкультуры России.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II. Единицы учета библиотечного фонда</w:t>
      </w:r>
    </w:p>
    <w:p w:rsidR="00371266" w:rsidRPr="00371266" w:rsidRDefault="00371266" w:rsidP="0037126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Величина (объем) и движение фонда измеряются в унифицированных единицах учета.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Основными единицами учета документов библиотечного фонда являются экземпляр и название, для газет - годовой комплект и название.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Дополнительными единицами учета фонда являются годовой комплект, </w:t>
      </w:r>
      <w:proofErr w:type="spellStart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метрополка</w:t>
      </w:r>
      <w:proofErr w:type="spellEnd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подшивка (переплетная единица); для электронных документов - единица памяти данных.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Общая величина библиотечного фонда в целом и его подразделов, в том числе сетевых локальных документов и сетевых удаленных документов, учитывается в экземплярах, новые поступления - в экземплярах и названиях. Число годовых комплектов газет приравнивается к числу экземпляров.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III. Учет документов по видам и категориям</w:t>
      </w:r>
    </w:p>
    <w:p w:rsidR="00371266" w:rsidRPr="00371266" w:rsidRDefault="00371266" w:rsidP="0037126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 Печатные издания и неопубликованные документы.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 печатными изданиям относятся тиражированные издания, полученные печатанием или тиснением, </w:t>
      </w:r>
      <w:proofErr w:type="spellStart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полиграфически</w:t>
      </w:r>
      <w:proofErr w:type="spellEnd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самостоятельно оформленные: книги, брошюры, журналы, продолжающиеся издания, листовые издания, газеты, </w:t>
      </w:r>
      <w:proofErr w:type="spellStart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изоиздания</w:t>
      </w:r>
      <w:proofErr w:type="spellEnd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нотные издания, картографические издания, нормативно-технические и технические документы, авторефераты диссертаций.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371266" w:rsidRPr="00371266" w:rsidRDefault="00371266" w:rsidP="0037126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неопубликованным документам относятся рукописные документы (рукописные книги и архивные документы), а также документы, изготовленные в единичных экземплярах, являющиеся объектами интеллектуальной собственности (депонированные научные работы, диссертации, препринты, отчеты о научно-исследовательских работах, переводы, описания алгоритмов и программ ЭВМ, проектно-конструкторская документация), тактильные рукодельные издания для слепых и слабовидящих. Рукописные документы, входящие в библиотечные фонды, являются составной частью Архивного фонда Российской Федерации и учитываются в соответствии с нормативными и правовыми актами по учету архивных документов и настоящим Порядком.</w:t>
      </w:r>
    </w:p>
    <w:p w:rsid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3.1.11. Факсимильное издание учитывается как оригинал.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3.2. Аудиовизуальные документы.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 аудиовизуальным документам относятся </w:t>
      </w:r>
      <w:proofErr w:type="spellStart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фонодокументы</w:t>
      </w:r>
      <w:proofErr w:type="spellEnd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видеодокументы, фотодокументы, кинодокументы.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3.2.1. Единицами учета фонда аудиовизуальных документов являются экземпляр и название.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 отдельный экземпляр учитываются: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диск - для грампластинок;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катушка, кассета или бобина - для магнитных фонограмм;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кассета - для видеодокументов;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кадр - для фотодокументов (диапозитивов, слайдов);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бобина - для кинофильмов.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 одно название учитываются: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отдельно выпущенная грампластинка, кассета либо комплект (альбом) грампластинок, кассет, объединенных общим названием;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магнитная фонограмма на одной катушке (кассете), магнитная фонограмма на нескольких катушках (кассетах), объединенных общим названием;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отдельно изданный </w:t>
      </w:r>
      <w:proofErr w:type="spellStart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фонодокумент</w:t>
      </w:r>
      <w:proofErr w:type="spellEnd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или комплект </w:t>
      </w:r>
      <w:proofErr w:type="spellStart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фонодокументов</w:t>
      </w:r>
      <w:proofErr w:type="spellEnd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gramStart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объединенных</w:t>
      </w:r>
      <w:proofErr w:type="gramEnd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общим заглавием;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кинофильм, диафильм независимо от числа составляющих частей или кадров (для комплекта диапозитивов).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3.2.2. Аудиовизуальные документы, являющиеся приложением к различным изданиям и выполняющие самостоятельные функции, а также используемые в работе отдельно от основного издания, могут учитываться как отдельные экземпляры.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 Документы на микроформах.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документам на микроформах относятся микрофильмы и микрофиши.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3.3.1. Единицами учета документов на микроформах являются экземпляр и название.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Экземпляром для документов на микроформах являются: рулон - для микрофильмов; фиша - </w:t>
      </w:r>
      <w:proofErr w:type="gramStart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proofErr w:type="gramEnd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микрофиш.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 одно название учитывается комплект микрофильмов или микрофиш, объединенных общим заглавием, независимо от числа составляющих частей.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3.3.2. Общий объем фонда документов на микроформах учитывается по количеству рулонов и фиш, включая копии разных поколений (архивные/резервные и пользовательские).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3.4. Электронные документы.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 электронным документам относятся документы на съемных носителях (компакт-диски, </w:t>
      </w:r>
      <w:proofErr w:type="spellStart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флеш</w:t>
      </w:r>
      <w:proofErr w:type="spellEnd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-карты); документы, размещаемые на жестком диске компьютера (сервере) библиотеки и доступные пользователям через информационно-телекоммуникационные сети (далее - сетевые локальные документы); документы, размещаемые на автономных автоматизированных рабочих станциях библиотеки (далее - инсталлированные документы); документы, размещенные на внешних технических средствах, получаемые библиотекой во временное пользование через информационно-телекоммуникационные сети на условиях договора, контракта, лицензионного соглашения с производителями информации (далее - сетевые удаленные документы).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3.4.1. Единицами учета электронных документов на съемных носителях являются экземпляр и название.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3.4.1.1. Как отдельный экземпляр учитывается каждый автономный объект (компакт-диск).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 отдельные экземпляры могут учитываться приложения к различным изданиям, выполняющие самостоятельные функции, а также используемые в работе отдельно от основного издания.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 отдельные экземпляры не учитываются компакт-диски, если они представляют собой вкладку (вложение) в издание или его неотъемлемое приложение.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3.4.1.2. Как одно название учитываются: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отдельно выпущенный компакт-диск;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каждый компакт-диск, входящий в нумерованную или ненумерованную серию электронных изданий;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комплект компакт-дисков, объединенных общим названием;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изданные в качестве самостоятельных изданий приложения к изданиям любого другого вида, имеющие собственное заглавие и допускающие их использование без обращения к основному изданию.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3.4.1.3. В документах на </w:t>
      </w:r>
      <w:proofErr w:type="spellStart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флеш</w:t>
      </w:r>
      <w:proofErr w:type="spellEnd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-картах как один экземпляр и одно название учитывается каждое целостное произведение, имеющее самостоятельное заглавие.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3.4.2. Единицами учета сетевых локальных и инсталлированных документов являются экземпляр (условная единица учета) и название.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Как одно название учитывается целостное произведение, имеющее самостоятельное заглавие, вне зависимости от его представления. Как одна единица учитывается пополняемый и обновляемый электронный документ.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Экземпляром является документ в определенном формате хранения или представления. Форматы одной и той же единицы контента учитываются отдельно.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3.4.3. Единицами учета сетевых удаленных документов являются экземпляр (условная единица учета) и название.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 один экземпляр и одно название учитывается каждый полнотекстовый электронный документ, имеющий самостоятельное заглавие, включенный в пакет, к которому оформлено право доступа у его производителя. Как одна единица учитывается пополняемый и обновляемый электронный документ.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IV. Учет поступления документов в библиотечный фонд</w:t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Документы поступают в библиотеку и включаются в библиотечный фонд в результате поставки обязательного экземпляра, покупки (подписки, обмена, дарения, пожертвования, копирования оригиналов из фонда библиотеки).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4.1. Документы принимаются по первичным учетным документам (накладная, акт), включающим список поступлений.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4.1.1. Прием документов, поступающих в библиотеку без первичных документов на безвозмездной основе (обязательные экземпляры, депозитные экземпляры международных организаций, безвозмездные поступления из неизвестных и анонимных источников), оформляется актом о приеме документов.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4.1.2. Прием документов, поступающих в библиотеку от юридического, физического лица в виде дара с указанием его назначения для пополнения библиотечного фонда, оформляется договором пожертвования в соответствии с </w:t>
      </w:r>
      <w:hyperlink r:id="rId8" w:anchor="64U0IK" w:history="1">
        <w:r w:rsidRPr="0037126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Гражданским кодексом Российской Федерации</w:t>
        </w:r>
      </w:hyperlink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</w:t>
      </w:r>
      <w:hyperlink r:id="rId9" w:anchor="8R40M6" w:history="1">
        <w:r w:rsidRPr="0037126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ст.574</w:t>
        </w:r>
      </w:hyperlink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" w:anchor="A7C0NE" w:history="1">
        <w:r w:rsidRPr="0037126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582</w:t>
        </w:r>
      </w:hyperlink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71266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52610B9" wp14:editId="005C7269">
                <wp:extent cx="85090" cy="223520"/>
                <wp:effectExtent l="0" t="0" r="0" b="0"/>
                <wp:docPr id="6" name="AutoShape 5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09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data:image;base64,R0lGODdhCQAXAIABAAAAAP///ywAAAAACQAXAAACFYyPqcsHCx5kUtV0UXYwtg+G4kh+BQA7" style="width:6.7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371266" w:rsidRPr="00371266" w:rsidRDefault="00371266" w:rsidP="0037126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59DDA84" wp14:editId="43D4F8E2">
                <wp:extent cx="85090" cy="223520"/>
                <wp:effectExtent l="0" t="0" r="0" b="0"/>
                <wp:docPr id="5" name="AutoShape 6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09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data:image;base64,R0lGODdhCQAXAIABAAAAAP///ywAAAAACQAXAAACFYyPqcsHCx5kUtV0UXYwtg+G4kh+BQA7" style="width:6.7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1" w:anchor="64U0IK" w:history="1">
        <w:r w:rsidRPr="0037126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Гражданский кодекс Российской Федерации. Часть вторая от 26 янв. 1996 года N 14-ФЗ</w:t>
        </w:r>
        <w:proofErr w:type="gramStart"/>
      </w:hyperlink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// С</w:t>
      </w:r>
      <w:proofErr w:type="gramEnd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обр. законодательства Рос. Федерации. - 1996 год. - N 5, ст.410. - с.1110-1296.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4.1.3. Прием документов от читателей взамен утерянных и признанных равноценными утраченным, оформляется актом о приеме документов взамен утерянных. В акте </w:t>
      </w:r>
      <w:proofErr w:type="spellStart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указываюется</w:t>
      </w:r>
      <w:proofErr w:type="spellEnd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фамилия, инициалы читателя, сведения об утерянных изданиях (регистрационный номер, краткое библиографическое описание издания, цена), сведения о принятых изданиях (краткое библиографическое описание издания, цена), подписи читателя и принимающей стороны.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4.2. Оценка стоимости периодических изданий, поступающих в библиотеку на временное хранение, не производится.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4.3. Документы, поступающие в библиотеку, подлежат суммарному учету.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4.3.1. Сведения о включаемых в библиотечный фонд документах фиксируются в книге суммарного учета библиотечного фонда или в другом виде регистра согласно </w:t>
      </w:r>
      <w:hyperlink r:id="rId12" w:anchor="7DA0K6" w:history="1">
        <w:r w:rsidRPr="0037126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п.1.5.2</w:t>
        </w:r>
      </w:hyperlink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Регистры суммарного учета должны иметь заголовочные данные: наименование регистра, наименование организации, подразделения. В регистр вписываются данные о поступившей партии документов: дата и порядковый номер записи (порядковый номер записи ежегодно начинается с N 1), источник поступления, номер и дата первичного учетного документа, количество поступивших документов и стоимость.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4.3.2. Суммарный учет поступления электронных сетевых локальных документов ведется в электронном реестре в соответствии с показателями п.5.3.1, с указанием даты загрузки поступлений в систему.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4.3.3. Суммарный учет поступления электронных сетевых удаленных документов ведется в электронном реестре с отражением следующих показателей: даты и порядкового номера записи, реквизитов лицензионного договора (названия и номера документа, срока его действия, стоимости), количества баз данных (пакетов) и включенных в них названий.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подсчете суммарного количества названий исключаются </w:t>
      </w:r>
      <w:proofErr w:type="spellStart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дублирующиеся</w:t>
      </w:r>
      <w:proofErr w:type="spellEnd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названия в пакетах на одной платформе.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4.4. Документы, подготовленные к приему в библиотечный фонд, подвергаются первичной обработке и индивидуальному учету.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4.4.1. Индивидуальный учет документов осуществляется путем присвоения каждому экземпляру документа регистрационного номера, иного знака в качестве регистрационного номера (системного номера компьютерной программы, </w:t>
      </w:r>
      <w:proofErr w:type="spellStart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штрихкода</w:t>
      </w:r>
      <w:proofErr w:type="spellEnd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других). Индивидуальный номер закрепляется за документом на все время его нахождения в фонде библиотеки. Регистрационные номера исключенных из фонда документов не присваиваются вновь принятым документам.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Регистрационные номера проставляются непосредственно на документах и отражаются в регистре индивидуального учета документов, принятом в библиотеке.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Регистры индивидуального учета должны иметь заголовочные данные: наименование регистра, наименование организации, структурного подразделения. В регистр вписываются данные о каждом документе: дата записи в регистре, регистрационный номер, краткое библиографическое описание документа (автор, заглавие, том, часть, выпуск, место и год издания), цена документа, указанная в сопроводительном документе.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4.4.2. Индивидуальный учет периодических изданий ведется в регистрационной картотеке периодических изданий, предназначенной для учета каждого названия и каждого экземпляра, или в автоматизированной базе данных.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Для периодических изданий в качестве регистрационных номеров могут использоваться любые идентификационные номера: системный номер в автоматизированной базе данных, регистрационный (порядковый) номер записи в регистрационной картотеке.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4.4.3. Индивидуальный учет документов, имеющих в своем оформлении драгоценные металлы и (или) драгоценные камни и отнесенных к категории сейфового хранения, осуществляется в специальном регистре, в котором, кроме традиционных показателей, дается описание внешнего оформления документа. Каждый лист регистра сопровождается итоговой записью с указанием даты ее составления и количества описаний на листе.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4.4.4. В регистрах индивидуального учета в примечаниях указывается наличие и вид приложения к основному документу, а также особенности экземпляра ценных и редких документов (например, наличие уникального переплета, маргиналий, дефектов и т.п.). При наличии паспорта документа дается отсылка к нему. В примечаниях может указываться принадлежность документа к категории книжных памятников.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4.4.5. Индивидуальный учет электронных сетевых локальных документов осуществляется путем ввода в базу данных метаинформации о загрузке документа в электронную библиотеку с автоматическим присвоением идентификационного (системного) номера каждому документу.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4.4.6. Индивидуальный учет электронных сетевых удаленных документов осуществляется в электронном виде путем регистрации баз данных (пакетов) без присвоения им регистрационного номера.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реестр индивидуального учета сетевых удаленных документов включаются основные характеристики базы данных (пакета): описание базы данных (название, производитель, платформа и (или) адрес входа), срок окончания права доступа, количество названий, входящих в базу данных (пакет).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количество названий включается общее количество полнотекстовых документов (книг, журналов, газет, патентов, стандартов и других документов, учитываемых в библиотеке). Не включаются в это количество документы, которые обычно не издаются отдельно в печатном формате, такие как профили компаний, статистические таблицы, аналитические материалы маркетинга. Для баз данных (пакетов), не содержащих полнотекстовых документов, в реквизите "название" проставляется единица.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4.5. Документы, включаемые в фонд библиотеки, маркируются. При этом могут быть использованы штемпели, книжные знаки, индивидуальные штриховые коды, другие виды маркировки. Основные требования, которые должны соблюдаться при маркировке документов: обозначение принадлежности, эстетика, долговечность маркировочного знака, сохранность текста или другой знаковой информации.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4.6. На документах, являющихся приложением к основному носителю и его неотъемлемой частью, проставляются те же реквизиты, что и на основном документе.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4.7. Электронные сетевые локальные документы и электронные сетевые удаленные документы идентифицируются специальными программными средствами.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4.8. На принятых первичных учетных документах производится запись, подтверждающая, что поступившие документы приняты в библиотечный фонд как в объект особо ценного движимого имущества (далее - ОЦДИ) или как в объект иного движимого имущества.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4.9. Первичные учетные документы, подтверждающие факт поступления, передаются в бухгалтерию для включения в учет библиотечного фонда.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4.10. Ежеквартально, при условии изменения состава ОЦДИ, сведения об общем количестве и стоимости документов, включенных в состав библиотечного фонда, как объект особо ценного движимого имущества, передаются учредителю.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V. Учет выбытия документов из библиотечного фонда</w:t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Документы выбывают из библиотечного фонда в связи с физической утратой или частичной либо полной утратой потребительских свойств. Выбывающие документы исключаются из библиотечного фонда и списываются с возможностью последующей безвозмездной передачи в другие библиотеки либо реализации.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5.1. Исключение документов из библиотечного фонда допускается по следующим причинам: утрата, ветхость, дефектность, устарелость по содержанию, </w:t>
      </w:r>
      <w:proofErr w:type="spellStart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непрофильность</w:t>
      </w:r>
      <w:proofErr w:type="spellEnd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Непрофильность</w:t>
      </w:r>
      <w:proofErr w:type="spellEnd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документов устанавливается на основе Профиля комплектования фонда или иного нормативного документа, утверждаемого руководителем библиотеки. </w:t>
      </w:r>
      <w:proofErr w:type="gramStart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 причине </w:t>
      </w:r>
      <w:proofErr w:type="spellStart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непрофильности</w:t>
      </w:r>
      <w:proofErr w:type="spellEnd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могут исключаться из фонда документы, не комплектуемые библиотекой (при отказе от комплектования отдельных категорий документов), излишне дублетные экземпляры, замененные более полными по содержанию, лучшими по оформлению, физическому состоянию изданиями; по истечении срока хранения документов, при низком уровне читательского спроса, при несоответствии электронных документов техническому и программному обеспечению библиотеки.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5.1.1. Исключение документов по причинам устарелости по содержанию, </w:t>
      </w:r>
      <w:proofErr w:type="spellStart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непрофильности</w:t>
      </w:r>
      <w:proofErr w:type="spellEnd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(малоспрашиваемые), а также по причинам ветхости и дефектности не допускается по отношению к единственным экземплярам документов постоянного (бессрочного) хранения.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5.1.2. Исключение документов, отнесенных к книжным памятникам, допускается только по причине утраты при условии отражения информации о книжном памятнике в Реестре книжных памятников.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5.2. </w:t>
      </w:r>
      <w:proofErr w:type="gramStart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Выбытие документов из библиотечного фонда оформляется </w:t>
      </w:r>
      <w:hyperlink r:id="rId13" w:anchor="8P40LU" w:history="1">
        <w:r w:rsidRPr="0037126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Актом о списании исключенных объектов библиотечного фонда</w:t>
        </w:r>
      </w:hyperlink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 </w:t>
      </w:r>
      <w:hyperlink r:id="rId14" w:anchor="8P40LU" w:history="1">
        <w:r w:rsidRPr="0037126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Акт о списании</w:t>
        </w:r>
      </w:hyperlink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по форме (код по </w:t>
      </w:r>
      <w:hyperlink r:id="rId15" w:anchor="7D20K3" w:history="1">
        <w:r w:rsidRPr="0037126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ОКУД</w:t>
        </w:r>
      </w:hyperlink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0504144), утвержденной </w:t>
      </w:r>
      <w:hyperlink r:id="rId16" w:anchor="7D60K4" w:history="1">
        <w:r w:rsidRPr="0037126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приказом Министерства финансов Российской Федерации от 30 марта 2015 г. N 52н "Об утверждении форм первичных учетных документов и регистров бухгалтерского учета, </w:t>
        </w:r>
        <w:r w:rsidRPr="0037126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lastRenderedPageBreak/>
          <w:t>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</w:t>
        </w:r>
        <w:proofErr w:type="gramEnd"/>
        <w:r w:rsidRPr="0037126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gramStart"/>
        <w:r w:rsidRPr="0037126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государственными (муниципальными) учреждениями, и Методических указаний по их применению"</w:t>
        </w:r>
      </w:hyperlink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в Министерстве юстиции Российской Федерации 2 июня 2015 г., регистрационный N 37519, официальный интернет-портал правовой информации http://www.pravo.gov.ru, 8 июня 2015 г. N 0001201506080020), с изменениями, внесёнными </w:t>
      </w:r>
      <w:hyperlink r:id="rId17" w:anchor="7D60K4" w:history="1">
        <w:r w:rsidRPr="0037126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приказом Министерства финансов Российской Федерации от 16 ноября 2016 г. N 209н</w:t>
        </w:r>
      </w:hyperlink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в Министерстве юстиции Российской Федерации 15 декабря</w:t>
      </w:r>
      <w:proofErr w:type="gramEnd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2016 г., регистрационный N 44741, официальный интернет-портал правовой информации http://www.pravo.gov.ru, 19 декабря 2016 г., N 0001201612190019).</w:t>
      </w:r>
      <w:proofErr w:type="gramEnd"/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14 марта 2017 года </w:t>
      </w:r>
      <w:hyperlink r:id="rId18" w:anchor="6560IO" w:history="1">
        <w:r w:rsidRPr="0037126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приказом Минкультуры России от 2 февраля 2017 года N 115</w:t>
        </w:r>
      </w:hyperlink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9" w:anchor="7E00KB" w:history="1">
        <w:r w:rsidRPr="0037126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5.3. К Акту о списании прилагается список на исключение объектов библиотечного фонда (далее - список), который включает следующие сведения: регистрационный номер и шифр хранения документа, краткое библиографическое описание, цену документа, зафиксированную в регистре индивидуального учета документов, коэффициент переоценки, цену после переоценки и общую стоимость исключаемых документов.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печатных документов временного хранения допускается замена списка книжными формулярами.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документов, обработанных групповым (упрощенным) способом, вместо списка дается перечень регистрационных номеров, вид исключаемых изданий, их количество.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5.4. К Акту о списании по причине утраты и списку прилагаются документы, подтверждающие утрату (пояснительная записка, в случае кражи или хищения - протокол, акт, заключение уполномоченных органов, при возмещении ущерба - финансовый документ о возмещении ущерба).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Возмещение читателями ущерба допускается в форме замены утерянного документа равноценным либо путем денежной компенсации. При приеме денег от читателей взамен утерянных книг или других документов составляется приходный ордер, и читателю выдается квитанция установленного образца.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5.5. При возмещении читателем ущерба стоимость утраченных документов устанавливается экспертной комиссией по оценке документов, назначенной приказом руководителя библиотеки.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утере или хищении ценных и редких книг для определения их стоимости комиссия может привлекать к своей работе соответствующих экспертов, а также использовать материалы научно-методических центров, книжных аукционов и ярмарок. В этих случаях определение причиненного ущерба предельными коэффициентами кратности не ограничивается.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5.6. Акт о списании по одной из причин, указанных в </w:t>
      </w:r>
      <w:hyperlink r:id="rId20" w:anchor="7EA0KH" w:history="1">
        <w:r w:rsidRPr="0037126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п.5.1</w:t>
        </w:r>
      </w:hyperlink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с приложенным списком подписывается председателем и членами комиссии по списанию 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объектов библиотечного фонда, утверждается руководителем учреждения.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5.7. После утверждения Акта о списании осуществляются мероприятия по перераспределению и реализации списанных объектов библиотечного фонда.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5.7.1. Списанные объекты, исключенные из библиотечного фонда по причинам ветхости, дефектности, устарелости по содержанию, могут передаваться на безвозмездной основе юридическим и физическим лицам. Невостребованные в течение шести месяцев </w:t>
      </w:r>
      <w:proofErr w:type="gramStart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даты списания</w:t>
      </w:r>
      <w:proofErr w:type="gramEnd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документы могут направляться в пункты вторичного сырья.</w:t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в редакции, введенной в действие с 14 марта 2017 года </w:t>
      </w:r>
      <w:hyperlink r:id="rId21" w:anchor="6580IP" w:history="1">
        <w:r w:rsidRPr="0037126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приказом Минкультуры России от 2 февраля 2017 года N 115</w:t>
        </w:r>
      </w:hyperlink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2" w:anchor="7EC0KH" w:history="1">
        <w:r w:rsidRPr="0037126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5.7.2. Списанные объекты, исключенные из библиотечного фонда по причине </w:t>
      </w:r>
      <w:proofErr w:type="spellStart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непрофильности</w:t>
      </w:r>
      <w:proofErr w:type="spellEnd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передаются по решению библиотеки в обменный фонд в целях дальнейшей передачи на безвозмездной основе некоммерческим, а также государственным коммерческим организациям или для реализации юридическим и физическим лицам. Невостребованные или нереализованные в течение шести месяцев </w:t>
      </w:r>
      <w:proofErr w:type="gramStart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даты списания</w:t>
      </w:r>
      <w:proofErr w:type="gramEnd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документы могут передаваться на безвозмездной основе юридическим и физическим лицам либо направляться в пункты вторичного сырья.</w:t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в редакции, введенной в действие с 14 марта 2017 года </w:t>
      </w:r>
      <w:hyperlink r:id="rId23" w:anchor="6580IP" w:history="1">
        <w:r w:rsidRPr="0037126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приказом Минкультуры России от 2 февраля 2017 года N 115</w:t>
        </w:r>
      </w:hyperlink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4" w:anchor="7EE0KI" w:history="1">
        <w:r w:rsidRPr="0037126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5.7.3. При отсутствии пунктов вторичного сырья или в случаях, когда сдача документов на переработку экономически нецелесообразна, сотрудники библиотеки уничтожают исключенные из библиотечного фонда документы в специально отведенном для этих целей месте в присутствии уполномоченных учредителем лиц, которые составляют акт об уничтожении списанных объектов библиотечного фонда.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 </w:t>
      </w:r>
      <w:hyperlink r:id="rId25" w:anchor="8P40LU" w:history="1">
        <w:r w:rsidRPr="0037126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Акте о списании</w:t>
        </w:r>
      </w:hyperlink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отражаются наименование, номер и дата документа, подтверждающего решение библиотеки о передаче списанных объектов библиотечного фонда в обменный фонд, документа, подтверждающего решение библиотеки о реализации списанных объектов библиотечного фонда юридическим и физическим лицам, документа, подтверждающего решение библиотеки о передаче на безвозмездной основе списанных объектов библиотечного фонда юридическим и физическим лицам, документа, подтверждающего факт сдачи списанных объектов библиотечного</w:t>
      </w:r>
      <w:proofErr w:type="gramEnd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фонда в пункт вторичного сырья, или акта об уничтожении списанных объектов библиотечного фонда. Вышеуказанные документы прилагаются к </w:t>
      </w:r>
      <w:hyperlink r:id="rId26" w:anchor="8P40LU" w:history="1">
        <w:r w:rsidRPr="0037126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Акту о списании</w:t>
        </w:r>
      </w:hyperlink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 списком объектов, исключенных из библиотечного фонда.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Исключенные из библиотечных фондов микроформы на галогенидосеребряной пленке подлежат сдаче как серебросодержащие отходы в соответствии с законодательством Российской Федерации.</w:t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дополнительно включен с 14 марта 2017 года </w:t>
      </w:r>
      <w:hyperlink r:id="rId27" w:anchor="65C0IR" w:history="1">
        <w:r w:rsidRPr="0037126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приказом Минкультуры России от 2 февраля 2017 года N 115</w:t>
        </w:r>
      </w:hyperlink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5.8. После завершения мероприятий, предусмотренных Актом о списании исключенных объектов библиотечного фонда, первый экземпляр Акта о списании со списком и документом, подтверждающим выбытие, передается в бухгалтерию, 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второй экземпляр остается в подразделении, осуществляющем учет библиотечного фонда.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основании Акта о списании исключенных объектов библиотечного фонда библиотечное подразделение и бухгалтерия вносят изменения в соответствующие учетные документы.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5.9. Акты о списании регистрируются в книге суммарного учета библиотечного фонда (или другом виде регистра суммарного учета выбытия документов, принятом в библиотеке).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5.10. В регистрационной книге (или другом виде регистра индивидуального учета документов, принятом в библиотеке) проставляется номер и дата Акта о списании.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5.11. Все исключаемые из фонда библиотеки документы (книги, журналы, другие виды документов) должны быть соответствующим образом оформлены: специальным штемпелем должны быть погашены штампы библиотеки.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5.12. Электронные сетевые локальные документы удаляются из электронной библиотеки на основании Акта о списании с указанием причины исключения. Наименование, номер и дата акта вводятся в базу данных в качестве метаинформации к соответствующему документу.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основании введенных сведений программным способом формируется перечень Актов о списании (реестр суммарного учета выбытия сетевых локальных документов) и перечень списанных объектов электронной библиотеки (реестр индивидуального учета выбытия сетевых локальных документов).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5.13. Выбытие электронных сетевых удаленных документов не оформляется специальным документом. Подтверждением выбытия является истечение срока действия документа (договора, контракта, лицензионного соглашения), оформленного на право доступа к определенной базе данных (пакету) сетевых документов, и отсутствие договора, контракта, лицензионного соглашения, оформленного на новый срок.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5.14. Ежеквартально, при условии изменения состава ОЦДИ, общие сведения о количестве и стоимости документов, списанных из библиотечного фонда, как объекта особо ценного движимого имущества, с указанием перечня Актов о списании, причин и направлений выбытия документов, представляются учредителю. Количество выбывающих документов не должно превышать количества вновь поступающих документов в библиотечный фонд.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VI. Учет итогов движения библиотечного фонда</w:t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6.1. Итоги движения фондов подводятся в книге суммарного учета библиотечного фонда (или другом регистре суммарного учета, принятом в библиотеке) на основании данных суммарного учета о поступлении и выбытии документов.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Итоговые данные имеют четыре обязательных показателя: состояло на начало года, поступило за год, выбыло за год, состоит на конец года.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Итоговые данные по электронным сетевым удаленным документам представляются следующими показателями учетных единиц: состояло на начало года, оформлено в доступ в течение года, доступ прекращен в течение года, состоит на конец года.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6.2. Сведения об итоговых данных фиксируются в форме государственной статистической отчетности и представляются для целей государственной статистической отчетности.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Итоговые данные об обменном фонде не включаются в общие показатели библиотечного фонда.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VII. Проверка наличия документов библиотечного фонда</w:t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7.1. Проверка наличия документов библиотечного фонда (далее - проверка фонда) производится в обязательном порядке: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выявлении фактов хищения, злоупотребления или порчи документов;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стихийного бедствия, пожара или других чрезвычайных ситуаций, вызванных экстремальными условиями;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реорганизации или ликвидации библиотеки.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проведения проверок руководителем организации назначается комиссия, в состав комиссии должен входить представитель бухгалтерии.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7.2. Проверка фонда в плановом порядке осуществляется в следующие сроки: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документы, имеющие в оформлении драгоценные металлы и (или) драгоценные камни - ежегодно;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 редких и ценных книг - один раз в 5 лет;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фонды библиотек до 50 тысяч учетных единиц - один раз в 5 лет;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фонды библиотек от 50 до 200 тысяч учетных единиц - один раз в 7 лет;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фонды библиотек от 200 тысяч до 1 миллиона учетных единиц - один раз в 10 лет;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фонды библиотек от 1 до 10 миллионов учетных единиц - один раз в 15 лет;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фонды библиотек от 10 до 20 миллионов учетных единиц - один раз в 20 лет;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фонды библиотек свыше 20 миллионов учетных единиц - 1 миллион экземпляров в год.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Плановая проверка фонда библиотеки может осуществляться поэтапно в соответствии с графиком проведения проверки всего фонда или его части (в том числе редких и ценных книг) с определением сроков и количества планируемого объема работы.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7.3. Проверка электронных сетевых локальных документов осуществляется по количественным показателям, а также по контрольным суммам, позволяющим выявить изменения в документе.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Проверка доступности электронных сетевых удаленных документов осуществляется с адресов входа, указанных в регистре индивидуального учета.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7.4. Проверка всего фонда или его части завершается составлением акта о результатах </w:t>
      </w:r>
      <w:proofErr w:type="gramStart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проведения проверки наличия документов библиотечного фонда</w:t>
      </w:r>
      <w:proofErr w:type="gramEnd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приложением к нему списка документов, отсутствующих по неустановленной причине.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акте фиксируются сведения о количестве документов библиотечного фонда по данным учета; документов, имеющихся в наличии; документов, отсутствующих в библиотечном фонде по неустановленной причине. В акте также указываются номер и дата акта о проведении предыдущей проверки. А</w:t>
      </w:r>
      <w:proofErr w:type="gramStart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 с пр</w:t>
      </w:r>
      <w:proofErr w:type="gramEnd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иложением списка документов, отсутствующих по неустановленной причине, подписывается председателем и членами комиссии и утверждается руководителем учреждения.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7.5. При выявлении в процессе проверки фонда отсутствующих документов и невозможности установления виновных лиц убытки по недостачам списываются в соответствии с действующим законодательством.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VIII. Делопроизводство в организации учета библиотечного фонда</w:t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8.1. Организация работы с документами по учету библиотечного фонда осуществляется по правилам ведения делопроизводства.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8.2. Сроки хранения документов устанавливаются в соответствии с </w:t>
      </w:r>
      <w:hyperlink r:id="rId28" w:anchor="64U0IK" w:history="1">
        <w:r w:rsidRPr="0037126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Приказом Министерства культуры Российской Федерации от 25.08.2010 N 558</w:t>
        </w:r>
        <w:proofErr w:type="gramStart"/>
        <w:r w:rsidRPr="0037126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О</w:t>
        </w:r>
        <w:proofErr w:type="gramEnd"/>
        <w:r w:rsidRPr="0037126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</w:t>
        </w:r>
      </w:hyperlink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зарегистрированным Минюстом Российской Федерации 08.09.2010 N 18380.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8.2.1. Постоянно, до ликвидации библиотеки, хранятся регистры индивидуального и суммарного учета документов библиотечного фонда (регистрационные книги, инвентарные книги, книги суммарного учета, учетный каталог, топографические описи и каталоги).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8.2.2. В течение десяти лет хранятся Акты о списании исключенных объектов библиотечного фонда и акты о приеме-передаче списанных объектов библиотечного фонда.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8.2.3. В течение пяти лет хранятся первичные учетные документы, подтверждающие поступление документов в библиотечный фонд (накладные, 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акты о приеме, акты сдачи-приемки).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8.2.4. До окончания очередной проверки фонда хранятся акты о результатах </w:t>
      </w:r>
      <w:proofErr w:type="gramStart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проведения проверки наличия документов библиотечного фонда</w:t>
      </w:r>
      <w:proofErr w:type="gramEnd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71266" w:rsidRPr="00371266" w:rsidRDefault="00371266" w:rsidP="0037126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Редакция документа с учетом</w:t>
      </w:r>
    </w:p>
    <w:p w:rsidR="00371266" w:rsidRPr="00371266" w:rsidRDefault="00371266" w:rsidP="0037126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изменений и дополнений </w:t>
      </w:r>
      <w:proofErr w:type="gramStart"/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подготовлена</w:t>
      </w:r>
      <w:proofErr w:type="gramEnd"/>
    </w:p>
    <w:p w:rsidR="00371266" w:rsidRPr="00371266" w:rsidRDefault="00371266" w:rsidP="0037126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12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АО "Кодекс"</w:t>
      </w:r>
    </w:p>
    <w:p w:rsidR="00C475C3" w:rsidRDefault="00C475C3"/>
    <w:sectPr w:rsidR="00C4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66"/>
    <w:rsid w:val="00371266"/>
    <w:rsid w:val="00C4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6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7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3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1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7690" TargetMode="External"/><Relationship Id="rId13" Type="http://schemas.openxmlformats.org/officeDocument/2006/relationships/hyperlink" Target="https://docs.cntd.ru/document/420266549" TargetMode="External"/><Relationship Id="rId18" Type="http://schemas.openxmlformats.org/officeDocument/2006/relationships/hyperlink" Target="https://docs.cntd.ru/document/420393145" TargetMode="External"/><Relationship Id="rId26" Type="http://schemas.openxmlformats.org/officeDocument/2006/relationships/hyperlink" Target="https://docs.cntd.ru/document/42026654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420393145" TargetMode="External"/><Relationship Id="rId7" Type="http://schemas.openxmlformats.org/officeDocument/2006/relationships/hyperlink" Target="https://docs.cntd.ru/document/499004321" TargetMode="External"/><Relationship Id="rId12" Type="http://schemas.openxmlformats.org/officeDocument/2006/relationships/hyperlink" Target="https://docs.cntd.ru/document/499004321" TargetMode="External"/><Relationship Id="rId17" Type="http://schemas.openxmlformats.org/officeDocument/2006/relationships/hyperlink" Target="https://docs.cntd.ru/document/420383876" TargetMode="External"/><Relationship Id="rId25" Type="http://schemas.openxmlformats.org/officeDocument/2006/relationships/hyperlink" Target="https://docs.cntd.ru/document/42026654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420266549" TargetMode="External"/><Relationship Id="rId20" Type="http://schemas.openxmlformats.org/officeDocument/2006/relationships/hyperlink" Target="https://docs.cntd.ru/document/49900432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0022" TargetMode="External"/><Relationship Id="rId11" Type="http://schemas.openxmlformats.org/officeDocument/2006/relationships/hyperlink" Target="https://docs.cntd.ru/document/9027703" TargetMode="External"/><Relationship Id="rId24" Type="http://schemas.openxmlformats.org/officeDocument/2006/relationships/hyperlink" Target="https://docs.cntd.ru/document/420393353" TargetMode="External"/><Relationship Id="rId5" Type="http://schemas.openxmlformats.org/officeDocument/2006/relationships/hyperlink" Target="https://docs.cntd.ru/document/499004321" TargetMode="External"/><Relationship Id="rId15" Type="http://schemas.openxmlformats.org/officeDocument/2006/relationships/hyperlink" Target="https://docs.cntd.ru/document/9035738" TargetMode="External"/><Relationship Id="rId23" Type="http://schemas.openxmlformats.org/officeDocument/2006/relationships/hyperlink" Target="https://docs.cntd.ru/document/420393145" TargetMode="External"/><Relationship Id="rId28" Type="http://schemas.openxmlformats.org/officeDocument/2006/relationships/hyperlink" Target="https://docs.cntd.ru/document/902233422" TargetMode="External"/><Relationship Id="rId10" Type="http://schemas.openxmlformats.org/officeDocument/2006/relationships/hyperlink" Target="https://docs.cntd.ru/document/9027703" TargetMode="External"/><Relationship Id="rId19" Type="http://schemas.openxmlformats.org/officeDocument/2006/relationships/hyperlink" Target="https://docs.cntd.ru/document/4203933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7703" TargetMode="External"/><Relationship Id="rId14" Type="http://schemas.openxmlformats.org/officeDocument/2006/relationships/hyperlink" Target="https://docs.cntd.ru/document/420266549" TargetMode="External"/><Relationship Id="rId22" Type="http://schemas.openxmlformats.org/officeDocument/2006/relationships/hyperlink" Target="https://docs.cntd.ru/document/420393353" TargetMode="External"/><Relationship Id="rId27" Type="http://schemas.openxmlformats.org/officeDocument/2006/relationships/hyperlink" Target="https://docs.cntd.ru/document/42039314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5072</Words>
  <Characters>28911</Characters>
  <Application>Microsoft Office Word</Application>
  <DocSecurity>0</DocSecurity>
  <Lines>240</Lines>
  <Paragraphs>67</Paragraphs>
  <ScaleCrop>false</ScaleCrop>
  <Company/>
  <LinksUpToDate>false</LinksUpToDate>
  <CharactersWithSpaces>33916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ОКиО</dc:creator>
  <cp:lastModifiedBy>ОКиО</cp:lastModifiedBy>
  <cp:revision>1</cp:revision>
  <dcterms:created xsi:type="dcterms:W3CDTF">2024-03-27T10:57:00Z</dcterms:created>
  <dcterms:modified xsi:type="dcterms:W3CDTF">2024-03-27T11:01:00Z</dcterms:modified>
</cp:coreProperties>
</file>